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1641E" w:rsidRDefault="00292864">
      <w:r>
        <w:rPr>
          <w:noProof/>
        </w:rPr>
        <w:drawing>
          <wp:inline distT="0" distB="0" distL="0" distR="0">
            <wp:extent cx="5274310" cy="3157220"/>
            <wp:effectExtent l="0" t="0" r="2540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igureS1.tif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57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2864" w:rsidRDefault="00292864"/>
    <w:p w:rsidR="00292864" w:rsidRPr="00292864" w:rsidRDefault="00292864" w:rsidP="00292864">
      <w:pPr>
        <w:spacing w:line="360" w:lineRule="auto"/>
        <w:rPr>
          <w:rFonts w:ascii="Times New Roman" w:hAnsi="Times New Roman" w:cs="Times New Roman"/>
          <w:sz w:val="22"/>
        </w:rPr>
      </w:pPr>
      <w:r w:rsidRPr="00292864">
        <w:rPr>
          <w:rFonts w:ascii="Times New Roman" w:hAnsi="Times New Roman" w:cs="Times New Roman"/>
          <w:b/>
          <w:bCs/>
          <w:sz w:val="22"/>
        </w:rPr>
        <w:t>Figure S1</w:t>
      </w:r>
      <w:r w:rsidRPr="00292864">
        <w:rPr>
          <w:rFonts w:ascii="Times New Roman" w:hAnsi="Times New Roman" w:cs="Times New Roman"/>
          <w:sz w:val="22"/>
        </w:rPr>
        <w:t>: Prognosis value of glycolysis-related lncRNA signature in patients with stage II CRC. (A-B) The distribution of risk score, survival time of stage II CRC patients in training cohort stratified by risk score. (C) Kaplan-Meier curves of stage II CRC patients in training cohort. (D) ROC curve of predicted 1-, 2-, 3-year OS in stage II CRC patients according to risk score. (E-F) The distribution of risk score, survival time of stage II CRC patients in validation cohort stratified by risk score. (G) Kaplan-Meier curves of stage II CRC patients in validation cohort. (H) ROC curve of predicted 1-, 2-, 3-year OS in stage II CRC patients according to risk score.</w:t>
      </w:r>
    </w:p>
    <w:p w:rsidR="00292864" w:rsidRDefault="00292864"/>
    <w:p w:rsidR="00292864" w:rsidRDefault="00292864"/>
    <w:p w:rsidR="00292864" w:rsidRDefault="00292864">
      <w:r>
        <w:rPr>
          <w:rFonts w:hint="eastAsia"/>
          <w:noProof/>
        </w:rPr>
        <w:lastRenderedPageBreak/>
        <w:drawing>
          <wp:inline distT="0" distB="0" distL="0" distR="0">
            <wp:extent cx="5274310" cy="756729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igureS2.jpe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67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2864" w:rsidRDefault="00292864"/>
    <w:p w:rsidR="00292864" w:rsidRDefault="00292864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725995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21-03-24-1.jpe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59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725995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2021-03-24-2.jpe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59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3831590" cy="5274310"/>
            <wp:effectExtent l="254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021-03-27.jpe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83159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74310" cy="3989705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WB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89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4423410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WB2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2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/>
          <w:noProof/>
        </w:rPr>
        <w:drawing>
          <wp:inline distT="0" distB="0" distL="0" distR="0">
            <wp:extent cx="5274310" cy="3939540"/>
            <wp:effectExtent l="0" t="0" r="2540" b="381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WB3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39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29286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KY_MEDREF_DOCUID" w:val="{FFA92F3A-0052-4EBD-AFBC-4D167A20D21D}"/>
    <w:docVar w:name="KY_MEDREF_VERSION" w:val="3"/>
  </w:docVars>
  <w:rsids>
    <w:rsidRoot w:val="00B10D48"/>
    <w:rsid w:val="00292864"/>
    <w:rsid w:val="0031641E"/>
    <w:rsid w:val="00875578"/>
    <w:rsid w:val="00B10D48"/>
    <w:rsid w:val="00D443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17AFA18"/>
  <w15:chartTrackingRefBased/>
  <w15:docId w15:val="{13FC6208-9E59-413A-B3E0-5D18E209F4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tiff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6</Pages>
  <Words>102</Words>
  <Characters>586</Characters>
  <Application>Microsoft Office Word</Application>
  <DocSecurity>0</DocSecurity>
  <Lines>4</Lines>
  <Paragraphs>1</Paragraphs>
  <ScaleCrop>false</ScaleCrop>
  <Company/>
  <LinksUpToDate>false</LinksUpToDate>
  <CharactersWithSpaces>687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4</cp:revision>
  <dcterms:created xsi:type="dcterms:W3CDTF">2023-09-24T11:13:00Z</dcterms:created>
  <dcterms:modified xsi:type="dcterms:W3CDTF">2023-09-24T11:15:00Z</dcterms:modified>
</cp:coreProperties>
</file>